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4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WG6 Meeting #66</w:t>
      </w:r>
      <w:r>
        <w:rPr>
          <w:b/>
          <w:i/>
          <w:sz w:val="28"/>
        </w:rPr>
        <w:tab/>
      </w:r>
      <w:r>
        <w:rPr>
          <w:rFonts w:hint="eastAsia"/>
          <w:b/>
          <w:bCs/>
          <w:sz w:val="24"/>
          <w:szCs w:val="24"/>
        </w:rPr>
        <w:t>S6-251094</w:t>
      </w:r>
    </w:p>
    <w:p>
      <w:pPr>
        <w:pStyle w:val="24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Gothenburg, Sweden 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2025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S6-251xxx)</w:t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  <w:bookmarkStart w:id="1" w:name="_GoBack"/>
      <w:bookmarkEnd w:id="1"/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ZTE Corporation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ID on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sensing application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enabler for vertical applications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11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 xml:space="preserve"> S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tudy on sensing application  enabler for vertical applications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26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 xml:space="preserve"> 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FS_SensingAPP</w:t>
      </w:r>
    </w:p>
    <w:p>
      <w:pPr>
        <w:pStyle w:val="26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TBD</w:t>
      </w:r>
    </w:p>
    <w:p>
      <w:pPr>
        <w:pStyle w:val="26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20</w:t>
      </w:r>
    </w:p>
    <w:p>
      <w:pPr>
        <w:pStyle w:val="26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>
      <w:pPr>
        <w:pStyle w:val="26"/>
      </w:pP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9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vAlign w:val="top"/>
          </w:tcPr>
          <w:p>
            <w:pPr>
              <w:pStyle w:val="30"/>
            </w:pPr>
          </w:p>
        </w:tc>
        <w:tc>
          <w:tcPr>
            <w:tcW w:w="1037" w:type="dxa"/>
            <w:tcBorders>
              <w:top w:val="nil"/>
            </w:tcBorders>
            <w:vAlign w:val="top"/>
          </w:tcPr>
          <w:p>
            <w:pPr>
              <w:pStyle w:val="30"/>
            </w:pPr>
            <w:r>
              <w:rPr>
                <w:rFonts w:hint="eastAsia"/>
                <w:highlight w:val="none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  <w:vAlign w:val="top"/>
          </w:tcPr>
          <w:p>
            <w:pPr>
              <w:pStyle w:val="30"/>
            </w:pPr>
          </w:p>
        </w:tc>
        <w:tc>
          <w:tcPr>
            <w:tcW w:w="851" w:type="dxa"/>
            <w:tcBorders>
              <w:top w:val="nil"/>
            </w:tcBorders>
            <w:vAlign w:val="top"/>
          </w:tcPr>
          <w:p>
            <w:pPr>
              <w:pStyle w:val="30"/>
            </w:pPr>
            <w:r>
              <w:rPr>
                <w:rFonts w:hint="eastAsia"/>
                <w:highlight w:val="none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  <w:vAlign w:val="top"/>
          </w:tcPr>
          <w:p>
            <w:pPr>
              <w:pStyle w:val="30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9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>
            <w:pPr>
              <w:pStyle w:val="30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037" w:type="dxa"/>
            <w:vAlign w:val="top"/>
          </w:tcPr>
          <w:p>
            <w:pPr>
              <w:pStyle w:val="30"/>
            </w:pPr>
          </w:p>
        </w:tc>
        <w:tc>
          <w:tcPr>
            <w:tcW w:w="850" w:type="dxa"/>
            <w:vAlign w:val="top"/>
          </w:tcPr>
          <w:p>
            <w:pPr>
              <w:pStyle w:val="30"/>
            </w:pPr>
            <w:r>
              <w:rPr>
                <w:rFonts w:hint="eastAsia"/>
                <w:highlight w:val="none"/>
                <w:lang w:eastAsia="zh-CN"/>
              </w:rPr>
              <w:t>X</w:t>
            </w:r>
          </w:p>
        </w:tc>
        <w:tc>
          <w:tcPr>
            <w:tcW w:w="851" w:type="dxa"/>
            <w:vAlign w:val="top"/>
          </w:tcPr>
          <w:p>
            <w:pPr>
              <w:pStyle w:val="30"/>
            </w:pPr>
          </w:p>
        </w:tc>
        <w:tc>
          <w:tcPr>
            <w:tcW w:w="1752" w:type="dxa"/>
            <w:vAlign w:val="top"/>
          </w:tcPr>
          <w:p>
            <w:pPr>
              <w:pStyle w:val="30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9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>
            <w:pPr>
              <w:pStyle w:val="30"/>
            </w:pPr>
            <w:r>
              <w:rPr>
                <w:rFonts w:hint="eastAsia"/>
                <w:highlight w:val="none"/>
                <w:lang w:eastAsia="zh-CN"/>
              </w:rPr>
              <w:t>X</w:t>
            </w:r>
          </w:p>
        </w:tc>
        <w:tc>
          <w:tcPr>
            <w:tcW w:w="1037" w:type="dxa"/>
            <w:vAlign w:val="top"/>
          </w:tcPr>
          <w:p>
            <w:pPr>
              <w:pStyle w:val="30"/>
            </w:pPr>
          </w:p>
        </w:tc>
        <w:tc>
          <w:tcPr>
            <w:tcW w:w="850" w:type="dxa"/>
            <w:vAlign w:val="top"/>
          </w:tcPr>
          <w:p>
            <w:pPr>
              <w:pStyle w:val="30"/>
            </w:pPr>
          </w:p>
        </w:tc>
        <w:tc>
          <w:tcPr>
            <w:tcW w:w="851" w:type="dxa"/>
            <w:vAlign w:val="top"/>
          </w:tcPr>
          <w:p>
            <w:pPr>
              <w:pStyle w:val="30"/>
            </w:pPr>
          </w:p>
        </w:tc>
        <w:tc>
          <w:tcPr>
            <w:tcW w:w="1752" w:type="dxa"/>
            <w:vAlign w:val="top"/>
          </w:tcPr>
          <w:p>
            <w:pPr>
              <w:pStyle w:val="30"/>
            </w:pPr>
            <w:r>
              <w:rPr>
                <w:rFonts w:hint="eastAsia"/>
                <w:highlight w:val="none"/>
                <w:lang w:eastAsia="zh-CN"/>
              </w:rP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p>
      <w:pPr>
        <w:pStyle w:val="26"/>
      </w:pP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8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Sensing</w:t>
            </w:r>
          </w:p>
        </w:tc>
        <w:tc>
          <w:tcPr>
            <w:tcW w:w="1101" w:type="dxa"/>
          </w:tcPr>
          <w:p>
            <w:pPr>
              <w:pStyle w:val="28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SA1</w:t>
            </w:r>
          </w:p>
        </w:tc>
        <w:tc>
          <w:tcPr>
            <w:tcW w:w="1101" w:type="dxa"/>
          </w:tcPr>
          <w:p>
            <w:pPr>
              <w:pStyle w:val="28"/>
              <w:rPr>
                <w:highlight w:val="none"/>
              </w:rPr>
            </w:pPr>
            <w:r>
              <w:rPr>
                <w:highlight w:val="none"/>
              </w:rPr>
              <w:t>1000026</w:t>
            </w:r>
          </w:p>
        </w:tc>
        <w:tc>
          <w:tcPr>
            <w:tcW w:w="6010" w:type="dxa"/>
          </w:tcPr>
          <w:p>
            <w:pPr>
              <w:pStyle w:val="28"/>
              <w:rPr>
                <w:highlight w:val="none"/>
              </w:rPr>
            </w:pPr>
            <w:r>
              <w:rPr>
                <w:highlight w:val="none"/>
              </w:rPr>
              <w:t xml:space="preserve">Integrated Sensing </w:t>
            </w:r>
            <w:r>
              <w:rPr>
                <w:rFonts w:hint="eastAsia"/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zh-CN"/>
              </w:rPr>
              <w:t>nd Communication</w:t>
            </w:r>
          </w:p>
        </w:tc>
      </w:tr>
    </w:tbl>
    <w:p>
      <w:pPr>
        <w:rPr>
          <w:highlight w:val="none"/>
        </w:rPr>
      </w:pPr>
    </w:p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highlight w:val="none"/>
          <w:lang w:eastAsia="ja-JP"/>
        </w:rPr>
      </w:pPr>
      <w:r>
        <w:rPr>
          <w:rFonts w:ascii="Arial" w:hAnsi="Arial"/>
          <w:sz w:val="28"/>
          <w:highlight w:val="none"/>
          <w:lang w:eastAsia="ja-JP"/>
        </w:rPr>
        <w:t>2.3</w:t>
      </w:r>
      <w:r>
        <w:rPr>
          <w:rFonts w:ascii="Arial" w:hAnsi="Arial"/>
          <w:sz w:val="28"/>
          <w:highlight w:val="none"/>
          <w:lang w:eastAsia="ja-JP"/>
        </w:rPr>
        <w:tab/>
      </w:r>
      <w:r>
        <w:rPr>
          <w:rFonts w:ascii="Arial" w:hAnsi="Arial"/>
          <w:sz w:val="28"/>
          <w:highlight w:val="none"/>
          <w:lang w:eastAsia="ja-JP"/>
        </w:rPr>
        <w:t>Other related Work Items and dependencies</w:t>
      </w:r>
    </w:p>
    <w:p>
      <w:pPr>
        <w:pStyle w:val="26"/>
        <w:rPr>
          <w:highlight w:val="none"/>
        </w:rPr>
      </w:pPr>
      <w:r>
        <w:rPr>
          <w:highlight w:val="none"/>
        </w:rPr>
        <w:t>{List here other Work Items which relate to the proposed one, such as a Work Item in an earlier Release if further enhancing the feature from the previous Release)}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8"/>
              <w:rPr>
                <w:highlight w:val="none"/>
              </w:rPr>
            </w:pPr>
            <w:r>
              <w:rPr>
                <w:highlight w:val="none"/>
              </w:rPr>
              <w:t>950003</w:t>
            </w:r>
          </w:p>
        </w:tc>
        <w:tc>
          <w:tcPr>
            <w:tcW w:w="3326" w:type="dxa"/>
          </w:tcPr>
          <w:p>
            <w:pPr>
              <w:pStyle w:val="28"/>
              <w:rPr>
                <w:highlight w:val="none"/>
              </w:rPr>
            </w:pPr>
            <w:r>
              <w:rPr>
                <w:rFonts w:ascii="Times New Roman" w:hAnsi="Times New Roman" w:eastAsia="Calibri"/>
                <w:sz w:val="20"/>
                <w:szCs w:val="24"/>
                <w:highlight w:val="none"/>
                <w:lang w:val="en-US"/>
              </w:rPr>
              <w:t>Study on Integrated Sensing and Communication</w:t>
            </w:r>
          </w:p>
        </w:tc>
        <w:tc>
          <w:tcPr>
            <w:tcW w:w="5099" w:type="dxa"/>
          </w:tcPr>
          <w:p>
            <w:pPr>
              <w:pStyle w:val="26"/>
              <w:rPr>
                <w:highlight w:val="none"/>
              </w:rPr>
            </w:pPr>
            <w:r>
              <w:rPr>
                <w:highlight w:val="none"/>
              </w:rPr>
              <w:t xml:space="preserve">SA1 study on </w:t>
            </w:r>
            <w:r>
              <w:rPr>
                <w:rFonts w:eastAsia="Calibri"/>
                <w:szCs w:val="24"/>
                <w:highlight w:val="none"/>
                <w:lang w:val="en-US"/>
              </w:rPr>
              <w:t>Integrated Sensing and Communication</w:t>
            </w:r>
          </w:p>
        </w:tc>
      </w:tr>
    </w:tbl>
    <w:p>
      <w:pPr>
        <w:pStyle w:val="31"/>
      </w:pPr>
    </w:p>
    <w:p>
      <w:pPr>
        <w:pStyle w:val="34"/>
      </w:pPr>
      <w:r>
        <w:rPr>
          <w:rFonts w:hint="eastAsia"/>
        </w:rPr>
        <w:t>NOTE</w:t>
      </w:r>
      <w:r>
        <w:t>: The above table will be updated with SA2’s study item information, when available.</w:t>
      </w:r>
    </w:p>
    <w:p>
      <w:pPr>
        <w:pStyle w:val="26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textAlignment w:val="auto"/>
        <w:rPr>
          <w:rFonts w:hint="eastAsia"/>
        </w:rPr>
      </w:pPr>
      <w:r>
        <w:rPr>
          <w:rFonts w:hint="eastAsia"/>
        </w:rPr>
        <w:t>SA1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 xml:space="preserve"> has defined 32 sensing use cases</w:t>
      </w:r>
      <w:r>
        <w:rPr>
          <w:rFonts w:hint="eastAsia" w:eastAsia="宋体"/>
          <w:lang w:val="en-US" w:eastAsia="zh-CN"/>
        </w:rPr>
        <w:t xml:space="preserve"> in </w:t>
      </w:r>
      <w:r>
        <w:rPr>
          <w:rFonts w:hint="eastAsia"/>
        </w:rPr>
        <w:t>TR 22.837 and consolidated requirements for 5G wireless sensing capabilities</w:t>
      </w:r>
      <w:r>
        <w:rPr>
          <w:rFonts w:hint="eastAsia" w:eastAsia="宋体"/>
          <w:lang w:val="en-US" w:eastAsia="zh-CN"/>
        </w:rPr>
        <w:t xml:space="preserve"> in </w:t>
      </w:r>
      <w:r>
        <w:rPr>
          <w:rFonts w:hint="eastAsia"/>
        </w:rPr>
        <w:t>T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 22.137, enabling operators to derive environmental/object information (e.g., motion, location, size) via NR signals. These capabilities are critical for verticals such as autonomous driving, smart cities, and industrial IoT.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textAlignment w:val="auto"/>
        <w:rPr>
          <w:rFonts w:hint="eastAsia"/>
        </w:rPr>
      </w:pPr>
      <w:r>
        <w:rPr>
          <w:rFonts w:hint="eastAsia"/>
        </w:rPr>
        <w:t>While SA2 is studying 3GPP-centric sensing architecture</w:t>
      </w:r>
      <w:r>
        <w:rPr>
          <w:rFonts w:hint="eastAsia" w:eastAsia="宋体"/>
          <w:lang w:val="en-US" w:eastAsia="zh-CN"/>
        </w:rPr>
        <w:t xml:space="preserve"> (</w:t>
      </w:r>
      <w:r>
        <w:rPr>
          <w:rFonts w:hint="eastAsia"/>
        </w:rPr>
        <w:t>S2-2502780), SA1 explicitly highlights the value of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>non-3GPP sensing data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>(e.g., cameras, LiDAR) to enhance sensing accuracy and service scope</w:t>
      </w:r>
      <w:r>
        <w:rPr>
          <w:rFonts w:hint="eastAsia" w:eastAsia="宋体"/>
          <w:lang w:val="en-US" w:eastAsia="zh-CN"/>
        </w:rPr>
        <w:t xml:space="preserve"> in </w:t>
      </w:r>
      <w:r>
        <w:rPr>
          <w:rFonts w:hint="eastAsia"/>
        </w:rPr>
        <w:t>T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 22.137. However, current SA2 work does not address the integration of non-3GPP data </w:t>
      </w:r>
      <w:r>
        <w:rPr>
          <w:rFonts w:hint="eastAsia" w:eastAsia="宋体"/>
          <w:lang w:val="en-US" w:eastAsia="zh-CN"/>
        </w:rPr>
        <w:t>from</w:t>
      </w:r>
      <w:r>
        <w:rPr>
          <w:rFonts w:hint="eastAsia"/>
        </w:rPr>
        <w:t xml:space="preserve"> the application layer</w:t>
      </w:r>
      <w:r>
        <w:rPr>
          <w:rFonts w:hint="eastAsia" w:eastAsia="宋体"/>
          <w:lang w:val="en-US" w:eastAsia="zh-CN"/>
        </w:rPr>
        <w:t xml:space="preserve"> for some value-added services</w:t>
      </w:r>
      <w:r>
        <w:rPr>
          <w:rFonts w:hint="eastAsia"/>
        </w:rPr>
        <w:t>. SA6 is uniquely positioned to: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420" w:leftChars="0" w:hanging="420" w:firstLineChars="0"/>
        <w:textAlignment w:val="auto"/>
        <w:rPr>
          <w:rFonts w:hint="eastAsia"/>
        </w:rPr>
      </w:pPr>
      <w:r>
        <w:rPr>
          <w:rFonts w:hint="eastAsia"/>
        </w:rPr>
        <w:t>Define application enablers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to </w:t>
      </w:r>
      <w:r>
        <w:rPr>
          <w:rFonts w:hint="eastAsia" w:eastAsia="宋体"/>
          <w:lang w:val="en-US" w:eastAsia="zh-CN"/>
        </w:rPr>
        <w:t xml:space="preserve">provide value-added services for vertical application by using </w:t>
      </w:r>
      <w:r>
        <w:rPr>
          <w:rFonts w:hint="eastAsia"/>
        </w:rPr>
        <w:t>3GPP/non-3GPP sensing data.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420" w:leftChars="0" w:hanging="420" w:firstLineChars="0"/>
        <w:textAlignment w:val="auto"/>
        <w:rPr>
          <w:rFonts w:hint="eastAsia"/>
        </w:rPr>
      </w:pPr>
      <w:r>
        <w:rPr>
          <w:rFonts w:hint="eastAsia"/>
        </w:rPr>
        <w:t>Enable cross-domain data fusion (3GPP + non-3GPP) for enriched sensing services.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textAlignment w:val="auto"/>
      </w:pPr>
      <w:r>
        <w:rPr>
          <w:rFonts w:hint="eastAsia"/>
        </w:rPr>
        <w:t xml:space="preserve">This study will run in parallel with SA2’s ISAC work, focusing on </w:t>
      </w:r>
      <w:r>
        <w:rPr>
          <w:rFonts w:hint="eastAsia" w:eastAsia="宋体"/>
          <w:lang w:val="en-US" w:eastAsia="zh-CN"/>
        </w:rPr>
        <w:t xml:space="preserve">non-3GPP sensing data processing and </w:t>
      </w:r>
      <w:r>
        <w:rPr>
          <w:rFonts w:hint="eastAsia"/>
        </w:rPr>
        <w:t>application-layer enabler</w:t>
      </w:r>
      <w:r>
        <w:rPr>
          <w:rFonts w:hint="eastAsia" w:eastAsia="宋体"/>
          <w:lang w:val="en-US" w:eastAsia="zh-CN"/>
        </w:rPr>
        <w:t xml:space="preserve"> design</w:t>
      </w:r>
      <w:r>
        <w:rPr>
          <w:rFonts w:hint="eastAsia"/>
        </w:rPr>
        <w:t>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r>
        <w:t>The objectives of this study item include the following:</w:t>
      </w:r>
    </w:p>
    <w:p>
      <w:pPr>
        <w:rPr>
          <w:lang w:eastAsia="ja-JP"/>
        </w:rPr>
      </w:pPr>
    </w:p>
    <w:p>
      <w:pPr>
        <w:spacing w:after="180"/>
        <w:rPr>
          <w:lang w:eastAsia="zh-CN"/>
        </w:rPr>
      </w:pPr>
      <w:r>
        <w:rPr>
          <w:lang w:eastAsia="zh-CN"/>
        </w:rPr>
        <w:t>Develop key issues, corresponding architecture requirements and solution recommendations to enable the application layer support for the sensing services over 3GPP system considering the following aspects:</w:t>
      </w:r>
    </w:p>
    <w:p>
      <w:pPr>
        <w:pStyle w:val="20"/>
        <w:spacing w:after="180"/>
        <w:ind w:left="568" w:hanging="284"/>
        <w:jc w:val="left"/>
        <w:rPr>
          <w:rFonts w:ascii="Times New Roman" w:hAnsi="Times New Roman" w:eastAsia="宋体"/>
          <w:lang w:eastAsia="zh-CN"/>
        </w:rPr>
      </w:pPr>
      <w:r>
        <w:rPr>
          <w:rFonts w:ascii="Times New Roman" w:hAnsi="Times New Roman" w:eastAsia="宋体"/>
          <w:lang w:eastAsia="zh-CN"/>
        </w:rPr>
        <w:t>1.</w:t>
      </w:r>
      <w:r>
        <w:rPr>
          <w:rFonts w:ascii="Times New Roman" w:hAnsi="Times New Roman" w:eastAsia="宋体"/>
          <w:lang w:eastAsia="zh-CN"/>
        </w:rPr>
        <w:tab/>
      </w:r>
      <w:r>
        <w:rPr>
          <w:rFonts w:ascii="Times New Roman" w:hAnsi="Times New Roman" w:eastAsia="宋体"/>
          <w:lang w:eastAsia="zh-CN"/>
        </w:rPr>
        <w:t xml:space="preserve">Providing sensing based application enabler layer support to vertical applications through usage of </w:t>
      </w:r>
      <w:r>
        <w:rPr>
          <w:rFonts w:hint="eastAsia" w:ascii="Times New Roman" w:hAnsi="Times New Roman" w:eastAsia="宋体"/>
          <w:lang w:val="en-US" w:eastAsia="zh-CN"/>
        </w:rPr>
        <w:t>3GPP/non-</w:t>
      </w:r>
      <w:r>
        <w:rPr>
          <w:rFonts w:ascii="Times New Roman" w:hAnsi="Times New Roman" w:eastAsia="宋体"/>
          <w:lang w:eastAsia="zh-CN"/>
        </w:rPr>
        <w:t xml:space="preserve">3GPP sensing result, and/or SEAL capabilities </w:t>
      </w:r>
      <w:r>
        <w:rPr>
          <w:rFonts w:hint="eastAsia" w:ascii="Times New Roman" w:hAnsi="Times New Roman" w:eastAsia="宋体"/>
          <w:lang w:eastAsia="zh-CN"/>
        </w:rPr>
        <w:t>(by enhancing existed SEAL functional entities or new SEAL functional entities when needed).</w:t>
      </w:r>
      <w:r>
        <w:rPr>
          <w:rFonts w:ascii="Times New Roman" w:hAnsi="Times New Roman" w:eastAsia="宋体"/>
          <w:lang w:eastAsia="zh-CN"/>
        </w:rPr>
        <w:t xml:space="preserve">  </w:t>
      </w:r>
    </w:p>
    <w:p>
      <w:pPr>
        <w:pStyle w:val="20"/>
        <w:spacing w:after="180"/>
        <w:ind w:left="568" w:hanging="284"/>
        <w:jc w:val="left"/>
        <w:rPr>
          <w:rFonts w:ascii="Times New Roman" w:hAnsi="Times New Roman" w:eastAsia="宋体"/>
          <w:lang w:eastAsia="zh-CN"/>
        </w:rPr>
      </w:pPr>
      <w:r>
        <w:rPr>
          <w:rFonts w:ascii="Times New Roman" w:hAnsi="Times New Roman" w:eastAsia="宋体"/>
          <w:lang w:eastAsia="zh-CN"/>
        </w:rPr>
        <w:t>2.</w:t>
      </w:r>
      <w:r>
        <w:rPr>
          <w:rFonts w:ascii="Times New Roman" w:hAnsi="Times New Roman" w:eastAsia="宋体"/>
          <w:lang w:eastAsia="zh-CN"/>
        </w:rPr>
        <w:tab/>
      </w:r>
      <w:r>
        <w:rPr>
          <w:rFonts w:ascii="Times New Roman" w:hAnsi="Times New Roman" w:eastAsia="宋体"/>
          <w:lang w:eastAsia="zh-CN"/>
        </w:rPr>
        <w:t xml:space="preserve">Feasibility of </w:t>
      </w:r>
      <w:r>
        <w:rPr>
          <w:rFonts w:hint="eastAsia" w:ascii="Times New Roman" w:hAnsi="Times New Roman" w:eastAsia="宋体"/>
          <w:lang w:val="en-US" w:eastAsia="zh-CN"/>
        </w:rPr>
        <w:t>collect</w:t>
      </w:r>
      <w:r>
        <w:rPr>
          <w:rFonts w:ascii="Times New Roman" w:hAnsi="Times New Roman" w:eastAsia="宋体"/>
          <w:lang w:eastAsia="zh-CN"/>
        </w:rPr>
        <w:t xml:space="preserve"> sensing result provided by non-3GPP sensors from application layer</w:t>
      </w:r>
      <w:r>
        <w:rPr>
          <w:rFonts w:hint="eastAsia" w:ascii="Times New Roman" w:hAnsi="Times New Roman" w:eastAsia="宋体"/>
          <w:lang w:val="en-US" w:eastAsia="zh-CN"/>
        </w:rPr>
        <w:t xml:space="preserve"> (</w:t>
      </w:r>
      <w:r>
        <w:rPr>
          <w:rFonts w:ascii="Times New Roman" w:hAnsi="Times New Roman" w:eastAsia="宋体"/>
          <w:lang w:eastAsia="zh-CN"/>
        </w:rPr>
        <w:t>e.g., camera, LiDAR</w:t>
      </w:r>
      <w:r>
        <w:rPr>
          <w:rFonts w:hint="eastAsia" w:ascii="Times New Roman" w:hAnsi="Times New Roman" w:eastAsia="宋体"/>
          <w:lang w:val="en-US" w:eastAsia="zh-CN"/>
        </w:rPr>
        <w:t>) for value-added services</w:t>
      </w:r>
      <w:r>
        <w:rPr>
          <w:rFonts w:ascii="Times New Roman" w:hAnsi="Times New Roman" w:eastAsia="宋体"/>
          <w:lang w:eastAsia="zh-CN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textAlignment w:val="auto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NOTE : </w:t>
      </w:r>
      <w:r>
        <w:t xml:space="preserve">The objectives of the study are </w:t>
      </w:r>
      <w:r>
        <w:rPr>
          <w:rFonts w:hint="eastAsia" w:eastAsia="宋体"/>
          <w:lang w:val="en-US" w:eastAsia="zh-CN"/>
        </w:rPr>
        <w:t>in</w:t>
      </w:r>
      <w:r>
        <w:t xml:space="preserve">dependent </w:t>
      </w:r>
      <w:r>
        <w:rPr>
          <w:rFonts w:hint="eastAsia" w:eastAsia="宋体"/>
          <w:lang w:val="en-US" w:eastAsia="zh-CN"/>
        </w:rPr>
        <w:t>from SA2</w:t>
      </w:r>
      <w:r>
        <w:rPr>
          <w:rFonts w:hint="default"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>s progress.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textAlignment w:val="auto"/>
        <w:rPr>
          <w:rFonts w:hint="default" w:eastAsia="宋体"/>
          <w:lang w:val="en-US"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1"/>
        <w:gridCol w:w="1104"/>
        <w:gridCol w:w="2154"/>
        <w:gridCol w:w="1125"/>
        <w:gridCol w:w="1157"/>
        <w:gridCol w:w="24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91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 xml:space="preserve">Type </w:t>
            </w:r>
          </w:p>
        </w:tc>
        <w:tc>
          <w:tcPr>
            <w:tcW w:w="110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TS/TR number</w:t>
            </w:r>
          </w:p>
        </w:tc>
        <w:tc>
          <w:tcPr>
            <w:tcW w:w="215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Title</w:t>
            </w:r>
          </w:p>
        </w:tc>
        <w:tc>
          <w:tcPr>
            <w:tcW w:w="1125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15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For approval at TSG#</w:t>
            </w:r>
          </w:p>
        </w:tc>
        <w:tc>
          <w:tcPr>
            <w:tcW w:w="2482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91" w:type="dxa"/>
          </w:tcPr>
          <w:p>
            <w:pPr>
              <w:pStyle w:val="26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Internal TR</w:t>
            </w:r>
          </w:p>
          <w:p>
            <w:pPr>
              <w:pStyle w:val="26"/>
              <w:spacing w:after="0"/>
              <w:rPr>
                <w:i w:val="0"/>
                <w:iCs/>
              </w:rPr>
            </w:pPr>
          </w:p>
        </w:tc>
        <w:tc>
          <w:tcPr>
            <w:tcW w:w="1104" w:type="dxa"/>
          </w:tcPr>
          <w:p>
            <w:pPr>
              <w:pStyle w:val="26"/>
              <w:spacing w:after="0"/>
              <w:rPr>
                <w:rFonts w:hint="default" w:eastAsia="宋体"/>
                <w:i w:val="0"/>
                <w:iCs/>
                <w:lang w:val="en-US" w:eastAsia="zh-CN"/>
              </w:rPr>
            </w:pPr>
            <w:r>
              <w:rPr>
                <w:rFonts w:hint="eastAsia" w:eastAsia="宋体"/>
                <w:i w:val="0"/>
                <w:iCs/>
                <w:lang w:val="en-US" w:eastAsia="zh-CN"/>
              </w:rPr>
              <w:t>23.700-xyz</w:t>
            </w:r>
          </w:p>
        </w:tc>
        <w:tc>
          <w:tcPr>
            <w:tcW w:w="2154" w:type="dxa"/>
          </w:tcPr>
          <w:p>
            <w:pPr>
              <w:pStyle w:val="26"/>
              <w:spacing w:after="0"/>
              <w:rPr>
                <w:i w:val="0"/>
                <w:iCs/>
              </w:rPr>
            </w:pPr>
            <w:r>
              <w:rPr>
                <w:i w:val="0"/>
                <w:iCs/>
                <w:lang w:val="en-US" w:eastAsia="zh-CN"/>
              </w:rPr>
              <w:t>Study on sensing application enabler for vertical applications</w:t>
            </w:r>
          </w:p>
        </w:tc>
        <w:tc>
          <w:tcPr>
            <w:tcW w:w="1125" w:type="dxa"/>
          </w:tcPr>
          <w:p>
            <w:pPr>
              <w:pStyle w:val="26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  <w:lang w:eastAsia="zh-CN"/>
              </w:rPr>
              <w:t>TBD</w:t>
            </w:r>
          </w:p>
        </w:tc>
        <w:tc>
          <w:tcPr>
            <w:tcW w:w="1157" w:type="dxa"/>
          </w:tcPr>
          <w:p>
            <w:pPr>
              <w:pStyle w:val="26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  <w:lang w:eastAsia="zh-CN"/>
              </w:rPr>
              <w:t>TBD</w:t>
            </w:r>
          </w:p>
        </w:tc>
        <w:tc>
          <w:tcPr>
            <w:tcW w:w="2482" w:type="dxa"/>
          </w:tcPr>
          <w:p>
            <w:pPr>
              <w:pStyle w:val="26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Yang Li, ZTE Corporation, li.yang1226@zte.com.cn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91" w:type="dxa"/>
          </w:tcPr>
          <w:p>
            <w:pPr>
              <w:pStyle w:val="28"/>
            </w:pPr>
          </w:p>
        </w:tc>
        <w:tc>
          <w:tcPr>
            <w:tcW w:w="1104" w:type="dxa"/>
          </w:tcPr>
          <w:p>
            <w:pPr>
              <w:pStyle w:val="28"/>
            </w:pPr>
          </w:p>
        </w:tc>
        <w:tc>
          <w:tcPr>
            <w:tcW w:w="2154" w:type="dxa"/>
          </w:tcPr>
          <w:p>
            <w:pPr>
              <w:pStyle w:val="28"/>
            </w:pPr>
          </w:p>
        </w:tc>
        <w:tc>
          <w:tcPr>
            <w:tcW w:w="1125" w:type="dxa"/>
          </w:tcPr>
          <w:p>
            <w:pPr>
              <w:pStyle w:val="28"/>
            </w:pPr>
          </w:p>
        </w:tc>
        <w:tc>
          <w:tcPr>
            <w:tcW w:w="1157" w:type="dxa"/>
          </w:tcPr>
          <w:p>
            <w:pPr>
              <w:pStyle w:val="28"/>
            </w:pPr>
          </w:p>
        </w:tc>
        <w:tc>
          <w:tcPr>
            <w:tcW w:w="2482" w:type="dxa"/>
          </w:tcPr>
          <w:p>
            <w:pPr>
              <w:pStyle w:val="28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rPr>
          <w:rFonts w:hint="eastAsia" w:eastAsia="宋体"/>
          <w:i w:val="0"/>
          <w:iCs/>
          <w:lang w:val="en-US" w:eastAsia="zh-CN"/>
        </w:rPr>
      </w:pPr>
      <w:r>
        <w:rPr>
          <w:rFonts w:hint="eastAsia"/>
          <w:lang w:val="en-US" w:eastAsia="zh-CN"/>
        </w:rPr>
        <w:t>Yang Li, ZTE Corporation, li.yang1226@zte.com.cn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SA6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pStyle w:val="26"/>
        <w:rPr>
          <w:i w:val="0"/>
        </w:rPr>
      </w:pPr>
      <w:r>
        <w:rPr>
          <w:i w:val="0"/>
        </w:rPr>
        <w:t>SA1 on service aspects</w:t>
      </w:r>
    </w:p>
    <w:p>
      <w:pPr>
        <w:pStyle w:val="26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SA2 for</w:t>
      </w:r>
      <w:r>
        <w:rPr>
          <w:rFonts w:hint="eastAsia"/>
          <w:highlight w:val="none"/>
          <w:lang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>3GPP</w:t>
      </w:r>
      <w:r>
        <w:rPr>
          <w:rFonts w:hint="eastAsia"/>
          <w:highlight w:val="none"/>
          <w:lang w:eastAsia="zh-CN"/>
        </w:rPr>
        <w:t xml:space="preserve"> system</w:t>
      </w:r>
      <w:r>
        <w:rPr>
          <w:rFonts w:hint="eastAsia"/>
          <w:highlight w:val="none"/>
          <w:lang w:val="en-US" w:eastAsia="zh-CN"/>
        </w:rPr>
        <w:t>s</w:t>
      </w:r>
      <w:r>
        <w:rPr>
          <w:rFonts w:hint="eastAsia"/>
          <w:highlight w:val="none"/>
          <w:lang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>aspect</w:t>
      </w:r>
    </w:p>
    <w:p>
      <w:pPr>
        <w:pStyle w:val="26"/>
        <w:rPr>
          <w:rFonts w:hint="eastAsia"/>
          <w:highlight w:val="none"/>
          <w:lang w:eastAsia="zh-CN"/>
        </w:rPr>
      </w:pPr>
      <w:r>
        <w:rPr>
          <w:rFonts w:hint="eastAsia"/>
          <w:highlight w:val="none"/>
          <w:lang w:val="en-US" w:eastAsia="zh-CN"/>
        </w:rPr>
        <w:t>SA3 for s</w:t>
      </w:r>
      <w:r>
        <w:rPr>
          <w:rFonts w:hint="eastAsia"/>
          <w:highlight w:val="none"/>
          <w:lang w:eastAsia="zh-CN"/>
        </w:rPr>
        <w:t xml:space="preserve">ecurity </w:t>
      </w:r>
      <w:r>
        <w:rPr>
          <w:rFonts w:hint="eastAsia"/>
          <w:highlight w:val="none"/>
          <w:lang w:val="en-US" w:eastAsia="zh-CN"/>
        </w:rPr>
        <w:t xml:space="preserve">and privacy </w:t>
      </w:r>
      <w:r>
        <w:rPr>
          <w:rFonts w:hint="eastAsia"/>
          <w:highlight w:val="none"/>
          <w:lang w:eastAsia="zh-CN"/>
        </w:rPr>
        <w:t>aspects</w:t>
      </w:r>
    </w:p>
    <w:p>
      <w:pPr>
        <w:rPr>
          <w:rFonts w:hint="eastAsia"/>
          <w:highlight w:val="none"/>
          <w:lang w:eastAsia="zh-CN"/>
        </w:rPr>
      </w:pPr>
      <w:r>
        <w:rPr>
          <w:color w:val="000000"/>
          <w:highlight w:val="none"/>
          <w:lang w:eastAsia="ja-JP"/>
        </w:rPr>
        <w:t xml:space="preserve">SA5 for the </w:t>
      </w:r>
      <w:r>
        <w:rPr>
          <w:rFonts w:hint="eastAsia" w:eastAsia="宋体"/>
          <w:color w:val="000000"/>
          <w:highlight w:val="none"/>
          <w:lang w:val="en-US" w:eastAsia="zh-CN"/>
        </w:rPr>
        <w:t>potential c</w:t>
      </w:r>
      <w:r>
        <w:rPr>
          <w:color w:val="000000"/>
          <w:highlight w:val="none"/>
          <w:lang w:eastAsia="ja-JP"/>
        </w:rPr>
        <w:t xml:space="preserve">harging </w:t>
      </w:r>
      <w:r>
        <w:rPr>
          <w:rFonts w:hint="eastAsia"/>
          <w:color w:val="000000"/>
          <w:highlight w:val="none"/>
          <w:lang w:eastAsia="zh-CN"/>
        </w:rPr>
        <w:t xml:space="preserve">and OAM </w:t>
      </w:r>
      <w:r>
        <w:rPr>
          <w:rFonts w:hint="eastAsia"/>
          <w:color w:val="000000"/>
          <w:highlight w:val="none"/>
          <w:lang w:eastAsia="ja-JP"/>
        </w:rPr>
        <w:t>a</w:t>
      </w:r>
      <w:r>
        <w:rPr>
          <w:color w:val="000000"/>
          <w:highlight w:val="none"/>
          <w:lang w:eastAsia="ja-JP"/>
        </w:rPr>
        <w:t>spect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9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8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8"/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BB31BA"/>
    <w:multiLevelType w:val="singleLevel"/>
    <w:tmpl w:val="98BB31BA"/>
    <w:lvl w:ilvl="0" w:tentative="0">
      <w:start w:val="1"/>
      <w:numFmt w:val="bullet"/>
      <w:lvlText w:val="­"/>
      <w:lvlJc w:val="left"/>
      <w:pPr>
        <w:ind w:left="420" w:leftChars="0" w:hanging="420" w:firstLineChars="0"/>
      </w:pPr>
      <w:rPr>
        <w:rFonts w:hint="default" w:ascii="宋体" w:hAnsi="宋体" w:eastAsia="宋体" w:cs="宋体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46B65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0ED8"/>
    <w:rsid w:val="007E1BA0"/>
    <w:rsid w:val="007F1DEC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6B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176B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5DD0"/>
    <w:rsid w:val="00F67FC3"/>
    <w:rsid w:val="00F763A4"/>
    <w:rsid w:val="00F80D67"/>
    <w:rsid w:val="00F81CF2"/>
    <w:rsid w:val="00F82A04"/>
    <w:rsid w:val="00F83DF3"/>
    <w:rsid w:val="00F9365E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44E4"/>
    <w:rsid w:val="0E6C69B9"/>
    <w:rsid w:val="0EAD7466"/>
    <w:rsid w:val="14FD2474"/>
    <w:rsid w:val="1A1E6EB7"/>
    <w:rsid w:val="2745257A"/>
    <w:rsid w:val="28676A79"/>
    <w:rsid w:val="31580775"/>
    <w:rsid w:val="35303AB8"/>
    <w:rsid w:val="3FA7099B"/>
    <w:rsid w:val="44F14E5A"/>
    <w:rsid w:val="4A7A05D2"/>
    <w:rsid w:val="503B3F27"/>
    <w:rsid w:val="511C6DFD"/>
    <w:rsid w:val="559F1EE2"/>
    <w:rsid w:val="62EC3E9A"/>
    <w:rsid w:val="651B7B23"/>
    <w:rsid w:val="69075AE0"/>
    <w:rsid w:val="6C486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7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autoRedefine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4">
    <w:name w:val="index 1"/>
    <w:basedOn w:val="1"/>
    <w:semiHidden/>
    <w:qFormat/>
    <w:uiPriority w:val="0"/>
    <w:pPr>
      <w:keepLines/>
    </w:pPr>
  </w:style>
  <w:style w:type="character" w:styleId="17">
    <w:name w:val="Strong"/>
    <w:basedOn w:val="16"/>
    <w:qFormat/>
    <w:uiPriority w:val="0"/>
    <w:rPr>
      <w:b/>
    </w:rPr>
  </w:style>
  <w:style w:type="character" w:styleId="18">
    <w:name w:val="page number"/>
    <w:basedOn w:val="16"/>
    <w:qFormat/>
    <w:uiPriority w:val="0"/>
  </w:style>
  <w:style w:type="character" w:styleId="19">
    <w:name w:val="Hyperlink"/>
    <w:basedOn w:val="16"/>
    <w:qFormat/>
    <w:uiPriority w:val="0"/>
    <w:rPr>
      <w:color w:val="0000FF"/>
      <w:u w:val="single"/>
    </w:rPr>
  </w:style>
  <w:style w:type="paragraph" w:customStyle="1" w:styleId="20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2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3">
    <w:name w:val="??? 2"/>
    <w:basedOn w:val="22"/>
    <w:next w:val="22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5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6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7">
    <w:name w:val="Heading 8 Char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8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9">
    <w:name w:val="TAH"/>
    <w:basedOn w:val="30"/>
    <w:qFormat/>
    <w:uiPriority w:val="0"/>
    <w:rPr>
      <w:b/>
    </w:rPr>
  </w:style>
  <w:style w:type="paragraph" w:customStyle="1" w:styleId="30">
    <w:name w:val="TAC"/>
    <w:basedOn w:val="28"/>
    <w:qFormat/>
    <w:uiPriority w:val="0"/>
    <w:pPr>
      <w:jc w:val="center"/>
    </w:pPr>
  </w:style>
  <w:style w:type="paragraph" w:customStyle="1" w:styleId="31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2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3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34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color w:val="000000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1124</Words>
  <Characters>6413</Characters>
  <Lines>53</Lines>
  <Paragraphs>15</Paragraphs>
  <TotalTime>0</TotalTime>
  <ScaleCrop>false</ScaleCrop>
  <LinksUpToDate>false</LinksUpToDate>
  <CharactersWithSpaces>7522</CharactersWithSpaces>
  <Application>WPS Office_12.8.2.16984_F1E327BC-269C-435d-A152-05C5408002CA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ZTE</cp:lastModifiedBy>
  <cp:lastPrinted>2001-04-23T09:30:00Z</cp:lastPrinted>
  <dcterms:modified xsi:type="dcterms:W3CDTF">2025-03-31T06:13:36Z</dcterms:modified>
  <dc:title>Source: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2052-12.8.2.16984</vt:lpwstr>
  </property>
  <property fmtid="{D5CDD505-2E9C-101B-9397-08002B2CF9AE}" pid="3" name="ICV">
    <vt:lpwstr>1FC0EB31420F4336917CDECD8DCAACEA_13</vt:lpwstr>
  </property>
</Properties>
</file>